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минфина Астраханской области от 15.05.2025 N 20-п</w:t>
              <w:br/>
              <w:t xml:space="preserve">"О порядке проведения министерством финансов Астраханской области мониторинга качества финансового менеджмента"</w:t>
              <w:br/>
              <w:t xml:space="preserve">(Зарегистрировано в минфине Астраханской области 15.05.2025 N 102/25/20-п)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министерстве финансов Астраханской области 15 мая 2025 г. N 102/25/20-п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ФИНАНСОВ АСТРАХАНСКОЙ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мая 2025 г. N 20-п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ПРОВЕДЕНИЯ МИНИСТЕРСТВОМ ФИНАНСОВ</w:t>
      </w:r>
    </w:p>
    <w:p>
      <w:pPr>
        <w:pStyle w:val="2"/>
        <w:jc w:val="center"/>
      </w:pPr>
      <w:r>
        <w:rPr>
          <w:sz w:val="20"/>
        </w:rPr>
        <w:t xml:space="preserve">АСТРАХАНСКОЙ ОБЛАСТИ МОНИТОРИНГА КАЧЕСТВА</w:t>
      </w:r>
    </w:p>
    <w:p>
      <w:pPr>
        <w:pStyle w:val="2"/>
        <w:jc w:val="center"/>
      </w:pPr>
      <w:r>
        <w:rPr>
          <w:sz w:val="20"/>
        </w:rPr>
        <w:t xml:space="preserve">ФИНАНСОВОГО МЕНЕДЖМЕНТА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Бюджетный кодекс Российской Федерации&quot; от 31.07.1998 N 145-ФЗ (ред. от 31.07.2025) {КонсультантПлюс}">
        <w:r>
          <w:rPr>
            <w:sz w:val="20"/>
            <w:color w:val="0000ff"/>
          </w:rPr>
          <w:t xml:space="preserve">пунктом 6 статьи 160.2-1</w:t>
        </w:r>
      </w:hyperlink>
      <w:r>
        <w:rPr>
          <w:sz w:val="20"/>
        </w:rPr>
        <w:t xml:space="preserve"> Бюджетного кодекса Российской Федерации министерство финансов Астраханской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министерством финансов Астраханской области мониторинга качества финансового менеджмента.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Постановление вступает в силу со дня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Астраханской области - министр финансов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Е.Н.РЯЗАНОВА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министерства финансов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от 15 мая 2025 г. N 20-п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МИНИСТЕРСТВОМ ФИНАНСОВ АСТРАХАНСКОЙ ОБЛАСТИ</w:t>
      </w:r>
    </w:p>
    <w:p>
      <w:pPr>
        <w:pStyle w:val="2"/>
        <w:jc w:val="center"/>
      </w:pPr>
      <w:r>
        <w:rPr>
          <w:sz w:val="20"/>
        </w:rPr>
        <w:t xml:space="preserve">МОНИТОРИНГА КАЧЕСТВА ФИНАНСОВОГО МЕНЕДЖМЕНТА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проведения министерством финансов Астраханской области (далее - министерство) мониторинга качества финансового менеджмента (далее - Порядок) разработан в соответствии с </w:t>
      </w:r>
      <w:hyperlink w:history="0" r:id="rId9" w:tooltip="&quot;Бюджетный кодекс Российской Федерации&quot; от 31.07.1998 N 145-ФЗ (ред. от 31.07.2025) {КонсультантПлюс}">
        <w:r>
          <w:rPr>
            <w:sz w:val="20"/>
            <w:color w:val="0000ff"/>
          </w:rPr>
          <w:t xml:space="preserve">пунктом 6 статьи 160.2-1</w:t>
        </w:r>
      </w:hyperlink>
      <w:r>
        <w:rPr>
          <w:sz w:val="20"/>
        </w:rPr>
        <w:t xml:space="preserve"> Бюджетного кодекса Российской Федерации и определяет правила проведения министерством мониторинга качества финансового менеджмента (далее - мониторинг) в отношении главных распорядителей средств бюджета Астраханской области, главных администраторов доходов бюджета Астраханской области, главных администраторов источников финансирования дефицита бюджета Астраханской области (далее - главный администратор).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Мониторинг,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нужд, проводится в целях: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выявления главными администраторами бюджетных рисков;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подготовки и реализации главными администраторами мер, направленных на минимизацию (устранение) бюджетных рисков, повышение качества финансового менеджмента, в том числе на достижение целевых значений показателей качества финансового менеджмента;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предупреждения, выявления и пресечения бюджетных нарушений, определенных </w:t>
      </w:r>
      <w:hyperlink w:history="0" r:id="rId10" w:tooltip="&quot;Бюджетный кодекс Российской Федерации&quot; от 31.07.1998 N 145-ФЗ (ред. от 31.07.2025) {КонсультантПлюс}">
        <w:r>
          <w:rPr>
            <w:sz w:val="20"/>
            <w:color w:val="0000ff"/>
          </w:rPr>
          <w:t xml:space="preserve">статьей 306.1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Мониторинг проводится по следующим направлениям: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управление расходами бюджета Астраханской области, в том числе связанными с качеством управлением активами, осуществлением закупок товаров, работ и услуг для обеспечения государственных нужд;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управление доходами бюджета Астраханской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ведение учета и составление бюджетной отчетности.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Мониторинг проводится на основании показателей сводной бюджетной росписи, бюджетной отчетности, документов и материалов, представленных в министерство главными администраторами.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проведения мониторинга министерством осуществляется расчет значений показателей качества финансового менеджмента (далее - показатель) в соответствии с </w:t>
      </w:r>
      <w:hyperlink w:history="0" w:anchor="P81" w:tooltip="ПОКАЗАТЕЛИ КАЧЕСТВА ФИНАНСОВОГО МЕНЕДЖМЕНТА">
        <w:r>
          <w:rPr>
            <w:sz w:val="20"/>
            <w:color w:val="0000ff"/>
          </w:rPr>
          <w:t xml:space="preserve">приложением N 1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Мониторинг проводится ежегодно по состоянию на 1 января года, следующего за отчетным финансовым годом, со дня представления министерством годовой бюджетной отчетности об исполнении консолидированного бюджета Астраханской области в Федеральное казначейство, но не позднее 1 сентября текущего финансового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Для проведения мониторинга создается комиссия. Состав комиссии и порядок ее деятельности утверждаются правовым актом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Министерство проводит анализ показателей, рассчитанных по каждому главному администратору, путем определения отклонений от максимальных значений каждого показателя.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Министерство рассчитывает по каждому главному администратору итоговую оценку качества финансового менеджмента (далее - итоговая оценка):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качества управления расходами бюджета Астраханской области, в том числе связанными с качеством управлением активами, осуществлением закупок товаров, работ и услуг для обеспечения государственных нужд;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качества управления доходами бюджета Астраханской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качества ведения учета и составления бюджетной отчетности.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Итоговая оценка главного администратора рассчитывается по формуле: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285875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КФМ - итоговая оценка главного администратора;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Bn - итоговая оценка главного администратора по n-му направлению;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Kn - коэффициент сложности управления финансами в соответствии с </w:t>
      </w:r>
      <w:hyperlink w:history="0" w:anchor="P548" w:tooltip="КОЭФФИЦИЕНТЫ СЛОЖНОСТИ УПРАВЛЕНИЯ ФИНАНСАМИ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невозможности определения оценки качества финансового менеджмента главного администратора по отдельным показателям, отсутствия у главного администратора подведомственных государственных учреждений Астраханской области по указанным направлениям выставляется оценка качества финансового менеджмента, равная среднему арифметическому значению показателей соответствующих оценок, полученных остальными главными администраторами.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Максимальная итоговая оценка присваивается главному администратору, получившему наибольшее количество баллов.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министерством нарушений требований бюджетного законодательства у главного администратора указанный главный администратор исключается из числа претендентов на присвоение максимальной итоговой оценки. Вместо исключенного главного администратора в состав претендентов на присвоение максимальной итоговой оценки включается следующий по результатам итоговой оценки главный администратор.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Результаты мониторинга утверждаются решением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Министерство не позднее 20 рабочих дней со дня принятия решения комиссии, указанного в </w:t>
      </w:r>
      <w:hyperlink w:history="0" w:anchor="P65" w:tooltip="9. Результаты мониторинга утверждаются решением комиссии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формирует отчет о результатах мониторинга (далее - отчет) и размещает его в информационно-телекоммуникационной сети "Интернет" на официальном сайте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Отчет содержит значения итоговой оценки каждого главного администратора и значения всех показателей.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Главные администраторы в течение 30 календарных дней со дня размещения отчета направляют в министерство сведения о ходе реализации мер, направленных на повышение качества финансового менеджмента, в соответствии с </w:t>
      </w:r>
      <w:hyperlink w:history="0" w:anchor="P578" w:tooltip="                                 Сведения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По каждому показателю, отклоняющемуся от максимальных оценок в отрицательную сторону более чем на 25%, главным администратором указываются причины отклонения и данные о планируемых (исполняемых) мероприятиях, направленных на обеспечение достижения максимальных оценок по соответствующим направлениям 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проведения</w:t>
      </w:r>
    </w:p>
    <w:p>
      <w:pPr>
        <w:pStyle w:val="0"/>
        <w:jc w:val="right"/>
      </w:pPr>
      <w:r>
        <w:rPr>
          <w:sz w:val="20"/>
        </w:rPr>
        <w:t xml:space="preserve">министерством финансов</w:t>
      </w:r>
    </w:p>
    <w:p>
      <w:pPr>
        <w:pStyle w:val="0"/>
        <w:jc w:val="right"/>
      </w:pPr>
      <w:r>
        <w:rPr>
          <w:sz w:val="20"/>
        </w:rPr>
        <w:t xml:space="preserve">Астраханской области мониторинга</w:t>
      </w:r>
    </w:p>
    <w:p>
      <w:pPr>
        <w:pStyle w:val="0"/>
        <w:jc w:val="right"/>
      </w:pPr>
      <w:r>
        <w:rPr>
          <w:sz w:val="20"/>
        </w:rPr>
        <w:t xml:space="preserve">качества финансового менеджмента</w:t>
      </w:r>
    </w:p>
    <w:p>
      <w:pPr>
        <w:pStyle w:val="0"/>
      </w:pPr>
      <w:r>
        <w:rPr>
          <w:sz w:val="20"/>
        </w:rPr>
      </w:r>
    </w:p>
    <w:bookmarkStart w:id="81" w:name="P81"/>
    <w:bookmarkEnd w:id="81"/>
    <w:p>
      <w:pPr>
        <w:pStyle w:val="2"/>
        <w:jc w:val="center"/>
      </w:pPr>
      <w:r>
        <w:rPr>
          <w:sz w:val="20"/>
        </w:rPr>
        <w:t xml:space="preserve">ПОКАЗАТЕЛИ КАЧЕСТВА ФИНАНСОВОГО МЕНЕДЖМЕНТА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3175"/>
        <w:gridCol w:w="1843"/>
        <w:gridCol w:w="2693"/>
        <w:gridCol w:w="3175"/>
        <w:gridCol w:w="2388"/>
      </w:tblGrid>
      <w:tr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 качества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 показателя качества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качества финансового менеджмента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Комментарий</w:t>
            </w:r>
          </w:p>
        </w:tc>
        <w:tc>
          <w:tcPr>
            <w:tcW w:w="2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Максимальная оценка качества финансового менеджмента (балл)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13721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Раздел 1. Управление расходами бюджета Астраханской области, в том числе связанными с качеством управлением активами, осуществлением закупок товаров, работ и услуг для обеспечения государственных нужд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gridSpan w:val="5"/>
            <w:tcW w:w="13721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1.1. Формирование проекта закона о бюджете Астраханской области на очередной финансовый год и плановый период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1.1.1. Своевременность представления фрагмента реестра расходных обязательств (P1)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Kр,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дни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Положительное значение показателя свидетельствует о несоблюдении участником мониторинга сроков представления фрагмента реестра расходных обязательств.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0 дней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Kр - количество дней отклонения даты регистрации сопроводительного письма органов государственной власти Астраханской области (далее - участник мониторинга), к которому приложен фрагмент реестра расходных обязательств на текущий финансовый год в министерстве финансов Астраханской области, от установленной даты представления реестра расходных обязательств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&gt;= P &gt; 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&gt;= P &gt; 3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&gt;= P &gt; 7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&gt;= P &gt; 14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20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1.1.2. Количество обращений, осуществленных при представлении фрагмента реестра расходных обязательств, в том числе в связи с внесением изменений во фрагмент реестра расходных обязательств, а также его уточнением, дополнением (P2)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P - количество обращений участника мониторинга в министерство финансов Астраханской области при представлении фрагмента реестра расходных обязательств, в том числе в связи с его изменением (уточнением, дополнением).</w:t>
            </w:r>
          </w:p>
          <w:p>
            <w:pPr>
              <w:pStyle w:val="0"/>
            </w:pPr>
            <w:r>
              <w:rPr>
                <w:sz w:val="20"/>
              </w:rPr>
              <w:t xml:space="preserve">P = 1 - в случае однократного обращения о представлении фрагмента реестра расходных обязательств участником мониторинга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1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Значение показателя больше 1 свидетельствует о несоблюдении участником мониторинга Методических рекомендаций по заполнению форм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Федерации, разработанных Министерством финансов Российской Федерации.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1 обращению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&gt;= P &gt; 1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&gt;= P &gt; 3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&gt;= P &gt; 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&gt;= P &gt; 7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9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1.1.3. Своевременность представления участником мониторинга обоснований бюджетных ассигнований на очередной финансовый год и на плановый период в министерство финансов Астраханской области (P3)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Соблюдены все сроки представления информации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Сроки представления обоснований бюджетных ассигнований устанавливаются ежегодно графиком разработки проекта бюджета Астраханской области на очередной финансовый год и плановый период.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показателя является соблюдение всех сроков представления информации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Не соблюден один срок представления информации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Не соблюдены два срока представления информации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5"/>
            <w:tcW w:w="13721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1.2. Исполнение бюджета Астраханской области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1.2.1. Доля платежных документов, не прошедших санкционирование в порядке, установленном министерством финансов Астраханской области (P4)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Q / S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2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характеризует качество подготовки платежных документов.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0%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Q - количество платежных документов, представленных участниками мониторинга и подведомственными государственными казенными, автономными и бюджетными учреждениями Астраханской области (далее - подведомственные учреждения), не прошедших контроль министерства финансов Астраханской области;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S - общее количество платежных документов, представленных участником мониторинга и подведомственными учреждениями в министерство финансов Астраханской области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=&lt; P &lt; 4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=&lt; P &lt; 6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=&lt; P &lt; 8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=&lt; P &lt; 10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&gt;= 10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1.2.2. Отклонение плановых и фактических показателей при кассовом планировании по расходам бюджета за отчетный финансовый год (P5)</w:t>
            </w:r>
          </w:p>
        </w:tc>
        <w:tc>
          <w:tcPr>
            <w:tcW w:w="317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position w:val="-10"/>
              </w:rPr>
              <w:drawing>
                <wp:inline distT="0" distB="0" distL="0" distR="0">
                  <wp:extent cx="1495425" cy="2571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= 90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отражает качество прогнозирования участниками мониторинга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&lt;= P &lt; 90</w:t>
            </w:r>
          </w:p>
        </w:tc>
        <w:tc>
          <w:tcPr>
            <w:vMerge w:val="continue"/>
          </w:tcPr>
          <w:p/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mj - исполнение прогноза перечислений по расходам бюджета по участнику мониторинга за каждый месяц отчетного финансового года: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&lt; = P &lt; 85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&lt; = P &lt; 80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&lt; = P &lt; 75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70</w:t>
            </w:r>
          </w:p>
        </w:tc>
        <w:tc>
          <w:tcPr>
            <w:vMerge w:val="continue"/>
          </w:tcPr>
          <w:p/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mj = Ej / ej;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Ej - фактический объем расходов по участнику мониторинга за каждый месяц отчетного финансового года (рублей),</w:t>
            </w:r>
          </w:p>
          <w:p>
            <w:pPr>
              <w:pStyle w:val="0"/>
            </w:pPr>
            <w:r>
              <w:rPr>
                <w:sz w:val="20"/>
              </w:rPr>
              <w:t xml:space="preserve">ej - прогнозное значение расходов, указанное участником мониторинга в прогнозе перечислений по расходам бюджета с учетом внесенных в него изменений за каждый месяц отчетного финансового года (рублей).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этом если mj </w:t>
            </w:r>
            <w:r>
              <w:drawing>
                <wp:inline distT="0" distB="0" distL="0" distR="0">
                  <wp:extent cx="133350" cy="13398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1, то показатель исполнения кассового плана исполнения бюджета Астраханской области (mj) =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1.2.3. Соблюдение сроков представления участником мониторинга прогноза перечислений по расходам бюджета для составления кассового плана исполнения бюджета (P6)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Прогноз перечислений по расходам бюджета представлен участником мониторинга в срок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Сроки установлены </w:t>
            </w:r>
            <w:hyperlink w:history="0" r:id="rId16" w:tooltip="Постановление минфина Астраханской области от 20.12.2019 N 51-п (ред. от 21.02.2023) &quot;О порядке составления и ведения кассового плана исполнения бюджета Астраханской области в текущем финансовом году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министерства финансов Астраханской области от 20.12.2019 N 51-п "О порядке составления и ведения кассового плана исполнения бюджета Астраханской области в текущем финансовом году".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соблюдение срока представления прогноза перечислений по расходам бюджета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Не соблюден срок представления участником мониторинга прогноза перечислений по расходам бюджета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1.2.4. Соблюдение участником мониторинга сроков подтверждения информации по администрируемым доходам (P7)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P - количество дней отклонения сроков подтверждения информации по администрируемым доходам от установленных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характеризует соблюдение сроков представления подтверждающей информации по администрируемым доходам.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0 дней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&lt; P &lt;= 2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&lt; P &lt;= 4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&lt; P &lt;= 6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&lt; P &lt;= 8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8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1.2.5. Соблюдение срока приведения государственной программы Астраханской области в соответствие с законом Астраханской области о бюджете Астраханской области (по данным государственной информационной системы управления общественными финансами "Электронный бюджет") (P8)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P - количество дней отклонения приведения государственной программы Астраханской области в соответствие с первоначальной редакцией закона Астраханской области о бюджете Астраханской области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государственной программы в целях приведения в соответствие с законом Астраханской области о бюджете Астраханской области на текущий финансовый год и на плановый период подлежит утверждению Правительством Астраханской области не позднее 1 апреля текущего финансового года (в соответствии с Порядком разработки и реализации государственных программ Астраханской области, утвержденным постановлением Правительства Астраханской области)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1.2.6. Соблюдение срока формирования годового отчета о реализации государственной программы Астраханской области в государственной информационной системе управления общественными финансами "Электронный бюджет" (P9)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 - количество дней отклонения формирования годового отчета о реализации государственной программы Астраханской области в государственной информационной системе управления общественными финансами "Электронный бюджет"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Порядком разработки и реализации государственных программ Астраханской области, утвержденным постановлением Правительства Астраханской области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1.2.7. Доля неиспользованных на конец года бюджетных ассигнований (P10)</w:t>
            </w:r>
          </w:p>
        </w:tc>
        <w:tc>
          <w:tcPr>
            <w:tcW w:w="317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952500" cy="4286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545465" cy="1968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характеризует качество планирования и исполнения участником мониторинга бюджетных ассигнований, предусмотренных сводной бюджетной росписью бюджета Астраханской области на обеспечение деятельности участника мониторинга.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 &lt; P &lt; 0,1</w:t>
            </w:r>
          </w:p>
        </w:tc>
        <w:tc>
          <w:tcPr>
            <w:vMerge w:val="continue"/>
          </w:tcPr>
          <w:p/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Bra - объем бюджетных ассигнований, предусмотренных участнику мониторинга на обеспечение деятельности в отчетном финансовом году согласно сводной бюджетной росписи бюджета Астраханской области с учетом внесенных в нее изменений;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Era - фактический объем расходов на обеспечение деятельности участника мониторинга в отчетном финансовом году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482600" cy="1968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1.2.8. Эффективность использования межбюджетных трансфертов, имеющих целевое назначение, полученных из федерального бюджета (P11)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(Na / na)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</w:t>
            </w:r>
            <w:r>
              <w:rPr>
                <w:position w:val="-1"/>
              </w:rPr>
              <w:drawing>
                <wp:inline distT="0" distB="0" distL="0" distR="0">
                  <wp:extent cx="114300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95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отражает качество финансовой дисциплины участника мониторинга, а также надежность внутреннего финансового контроля участника мониторинга в отношении расходов, финансовым обеспечением которых являются целевые средства</w:t>
            </w:r>
          </w:p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Na - фактический объем расходов по участнику мониторинга, финансовым обеспечением которых являлись межбюджетные трансферты, предоставленные из федерального бюджета в форме субсидий, субвенций и иных межбюджетных трансфертов, имеющих целевое назначение, с учетом средств бюджета Астраханской области, направляемых на исполнение расходных обязательств, в целях софинансирования (финансового обеспечения) которых предоставлены указанные межбюджетные трансферты (далее - целевые средства), в отчетном финансовом году;</w:t>
            </w:r>
          </w:p>
          <w:p>
            <w:pPr>
              <w:pStyle w:val="0"/>
            </w:pPr>
            <w:r>
              <w:rPr>
                <w:sz w:val="20"/>
              </w:rPr>
              <w:t xml:space="preserve">na - объем лимитов бюджетных обязательств (бюджетных ассигнований по публичным нормативным обязательствам) по целевым средствам на 31 декабря отчетного финансового года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</w:t>
            </w:r>
            <w:r>
              <w:drawing>
                <wp:inline distT="0" distB="0" distL="0" distR="0">
                  <wp:extent cx="114300" cy="1143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95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1.2.9. Доля неиспользованных на конец года бюджетных ассигнований на предоставление межбюджетных трансфертов (P12)</w:t>
            </w:r>
          </w:p>
        </w:tc>
        <w:tc>
          <w:tcPr>
            <w:tcW w:w="317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position w:val="-23"/>
              </w:rPr>
              <w:drawing>
                <wp:inline distT="0" distB="0" distL="0" distR="0">
                  <wp:extent cx="714375" cy="4286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545465" cy="1968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 &lt; P &lt; 0</w:t>
            </w:r>
          </w:p>
        </w:tc>
        <w:tc>
          <w:tcPr>
            <w:vMerge w:val="continue"/>
          </w:tcPr>
          <w:p/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B - объем бюджетных ассигнований, предусмотренных участнику мониторинга на предоставление межбюджетных трансфертов согласно сводной бюджетной росписи бюджета Астраханской области с учетом внесенных в нее изменений на конец отчетного финансового года;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E - фактический объем расходов на предоставление межбюджетных трансфертов в отчетном финансовом году по участнику мониторинга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position w:val="-5"/>
              </w:rPr>
              <w:drawing>
                <wp:inline distT="0" distB="0" distL="0" distR="0">
                  <wp:extent cx="457200" cy="1968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1.2.10. Своевременность заключения соглашений о предоставлении субсидий из бюджета Астраханской области бюджетам муниципальных образований Астраханской области (P13)</w:t>
            </w:r>
          </w:p>
        </w:tc>
        <w:tc>
          <w:tcPr>
            <w:tcW w:w="317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position w:val="-20"/>
              </w:rPr>
              <w:drawing>
                <wp:inline distT="0" distB="0" distL="0" distR="0">
                  <wp:extent cx="609600" cy="3905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1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Ориентиром является заключение соглашений о предоставлении субсидий из бюджета Астраханской области бюджетам муниципальных образований Астраханской области в установленные сроки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1</w:t>
            </w:r>
          </w:p>
        </w:tc>
        <w:tc>
          <w:tcPr>
            <w:vMerge w:val="continue"/>
          </w:tcPr>
          <w:p/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Nv - количество соглашений о предоставлении субсидий из бюджета Астраханской области бюджетам муниципальных образований Астраханской области, заключенных своевременно;</w:t>
            </w:r>
          </w:p>
          <w:p>
            <w:pPr>
              <w:pStyle w:val="0"/>
            </w:pPr>
            <w:r>
              <w:rPr>
                <w:sz w:val="20"/>
              </w:rPr>
              <w:t xml:space="preserve">No - общее количество соглашений о предоставлении субсидий из бюджета Астраханской области бюджетам муниципальных образований Астраханской области, подлежащих заключению в сроки, установленные правовыми актами Астраханской области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1.2.11. Нарушения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части соблюдения предусмотренных Федеральным </w:t>
            </w:r>
            <w:hyperlink w:history="0" r:id="rId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(далее - нарушения в сфере закупок) (P14)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А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1 - если не выявлены нарушения в сфере закупок при проведении контрольного мероприятия органом внутреннего государственного финансового контроля Астраханской области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 - наличие нарушений в сфере закупок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0,5 - если в отношении участника мониторинга контрольные мероприятия в отчетном финансовом году органом внутреннего государственного финансового контроля Астраханской области не проводились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0 - если выявлены нарушения в сфере закупок при проведении контрольного мероприятия органом внутреннего государственного финансового контроля Астраханской области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1.2.12. Нарушения требований бюджетного законодательства Российской Федерации при управлении и распоряжении государственной собственностью Астраханской области (P15)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А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1 - если не выявлены нарушения при управлении и распоряжении государственной собственностью Астраханской области при проведении контрольного мероприятия органом внутреннего государственного финансового контроля Астраханской области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 - наличие нарушения бюджетного законодательства Российской Федерации при управлении и распоряжении государственной собственностью Астраханской области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0,5 - если в отношении участника мониторинга контрольные мероприятия в отчетном финансовом году органом внутреннего государственного финансового контроля Астраханской области не проводились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0 - если выявлены нарушения при управлении и распоряжении государственной собственностью Астраханской области при проведении контрольного мероприятия органом внутреннего государственного финансового контроля Астраханской области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5"/>
            <w:tcW w:w="13721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1.3. Деятельность государственных учреждений Астраханской области, подведомственных исполнительным органам Астраханской области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1.3.1. Удельный вес подведомственных государственных бюджетных и автономных учреждений Астраханской области, выполнивших государственное задание на 100%, в общем количестве подведомственных государственных бюджетных и автономных учреждений Астраханской области (P16)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A / B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100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Положительно оценивается полное выполнение государственного задания подведомственными государственными бюджетными и автономными учреждениями Астраханской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значением является значение индикатора, равное 100%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A - количество подведомственных государственных бюджетных и автономных учреждений Астраханской области, выполнивших государственное задание на 100% в отчетном финансовом году;</w:t>
            </w:r>
          </w:p>
          <w:p>
            <w:pPr>
              <w:pStyle w:val="0"/>
            </w:pPr>
            <w:r>
              <w:rPr>
                <w:sz w:val="20"/>
              </w:rPr>
              <w:t xml:space="preserve">B - общее количество подведомственных государственных бюджетных и автономных учреждений Астраханской области в отчетном финансовом году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&lt;= P &lt; 100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95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1.3.2. Доля расходов за счет средств от приносящей доход деятельности в общих расходах государственных бюджетных и автономных учреждений Астраханской области к уровню предыдущего года (P17)</w:t>
            </w:r>
          </w:p>
        </w:tc>
        <w:tc>
          <w:tcPr>
            <w:tcW w:w="317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position w:val="-26"/>
              </w:rPr>
              <w:drawing>
                <wp:inline distT="0" distB="0" distL="0" distR="0">
                  <wp:extent cx="1762125" cy="4667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1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Позитивно расценивается рост доли расходов за счет средств от приносящей доход деятельности в общих расходах государственных бюджетных и автономных учреждений Астраханской области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1</w:t>
            </w:r>
          </w:p>
        </w:tc>
        <w:tc>
          <w:tcPr>
            <w:vMerge w:val="continue"/>
          </w:tcPr>
          <w:p/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</w:t>
            </w:r>
          </w:p>
          <w:p>
            <w:pPr>
              <w:pStyle w:val="0"/>
            </w:pPr>
            <w:r>
              <w:rPr>
                <w:sz w:val="20"/>
              </w:rPr>
              <w:t xml:space="preserve">Vпд1 - сумма кассовых расходов государственных бюджетных и автономных учреждений Астраханской области за счет средств от приносящей доход деятельности за год, предшествующий отчетному году;</w:t>
            </w:r>
          </w:p>
          <w:p>
            <w:pPr>
              <w:pStyle w:val="0"/>
            </w:pPr>
            <w:r>
              <w:rPr>
                <w:sz w:val="20"/>
              </w:rPr>
              <w:t xml:space="preserve">Vгз1 - сумма кассовых расходов государственных бюджетных и автономных учреждений Астраханской области за счет средств по государственному заданию за год, предшествующий отчетному году;</w:t>
            </w:r>
          </w:p>
          <w:p>
            <w:pPr>
              <w:pStyle w:val="0"/>
            </w:pPr>
            <w:r>
              <w:rPr>
                <w:sz w:val="20"/>
              </w:rPr>
              <w:t xml:space="preserve">Vпд2 - сумма кассовых расходов государственных бюджетных и автономных учреждений Астраханской области за счет средств от приносящей доход деятельности за год, за отчетный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Vгз2 - сумма кассовых расходов государственных бюджетных и автономных учреждений Астраханской области за счет средств по государственному заданию за год, за отчетный 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1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1.3.3. Удельный вес количества подведомственных учреждений, которые разместили 100% необходимых плановых показателей деятельности на официальном сайте для размещения информации о государственных (муниципальных) учреждениях </w:t>
            </w:r>
            <w:hyperlink w:history="0" r:id="rId28">
              <w:r>
                <w:rPr>
                  <w:sz w:val="20"/>
                  <w:color w:val="0000ff"/>
                </w:rPr>
                <w:t xml:space="preserve">www.bus.gov.ru</w:t>
              </w:r>
            </w:hyperlink>
            <w:r>
              <w:rPr>
                <w:sz w:val="20"/>
              </w:rPr>
              <w:t xml:space="preserve"> (далее - сайт </w:t>
            </w:r>
            <w:hyperlink w:history="0" r:id="rId29">
              <w:r>
                <w:rPr>
                  <w:sz w:val="20"/>
                  <w:color w:val="0000ff"/>
                </w:rPr>
                <w:t xml:space="preserve">www.bus.gov.ru</w:t>
              </w:r>
            </w:hyperlink>
            <w:r>
              <w:rPr>
                <w:sz w:val="20"/>
              </w:rPr>
              <w:t xml:space="preserve">) в информационно-телекоммуникационной сети "Интернет", от общего количества подведомственных учреждений (P18)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Кbus / К1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100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оценивает размещение необходимых плановых показателей деятельности подведомственных учреждений в отчетном финансовом году по состоянию на 1 января текущего финансового года. Значение показателя влияет на место Астраханской области в рейтинге субъектов Российской Федерации по уровню открытости бюджетных данных, который составляется Научно-исследовательским финансовым институтом по заказу Министерства финансов Российской Федерации (далее - рейтинг открытости бюджетных данных).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100%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Кbus - количество подведомственных учреждений, которые разместили 100% необходимой информации на сайте </w:t>
            </w:r>
            <w:hyperlink w:history="0" r:id="rId30">
              <w:r>
                <w:rPr>
                  <w:sz w:val="20"/>
                  <w:color w:val="0000ff"/>
                </w:rPr>
                <w:t xml:space="preserve">www.bus.gov.ru</w:t>
              </w:r>
            </w:hyperlink>
            <w:r>
              <w:rPr>
                <w:sz w:val="20"/>
              </w:rPr>
              <w:t xml:space="preserve"> в отчетном финансовом году по состоянию на 1 января текущего финансового года;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К1 - общее количество подведомственных учреждений в отчетном финансовом году по состоянию на 1 января текущего финансового года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&lt;= P &lt; 100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50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1.3.4. Удельный вес количества подведомственных учреждений, которые разместили 100% необходимых фактических показателей деятельности на сайте </w:t>
            </w:r>
            <w:hyperlink w:history="0" r:id="rId31">
              <w:r>
                <w:rPr>
                  <w:sz w:val="20"/>
                  <w:color w:val="0000ff"/>
                </w:rPr>
                <w:t xml:space="preserve">www.bus.gov.ru</w:t>
              </w:r>
            </w:hyperlink>
            <w:r>
              <w:rPr>
                <w:sz w:val="20"/>
              </w:rPr>
              <w:t xml:space="preserve">, от общего количества подведомственных учреждений (P19)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Kотч / K2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100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оценивает размещение необходимых фактических показателей деятельности подведомственных учреждений за год, предшествующий отчетному, в течение отчетного финансового года по состоянию на 1 января текущего финансового года.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Значение показателя влияет на место Астраханской области в рейтинге открытости бюджетных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100%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Котч - количество подведомственных учреждений, которые разместили 100% фактических показателей деятельности на сайте </w:t>
            </w:r>
            <w:hyperlink w:history="0" r:id="rId32">
              <w:r>
                <w:rPr>
                  <w:sz w:val="20"/>
                  <w:color w:val="0000ff"/>
                </w:rPr>
                <w:t xml:space="preserve">www.bus.gov.ru</w:t>
              </w:r>
            </w:hyperlink>
            <w:r>
              <w:rPr>
                <w:sz w:val="20"/>
              </w:rPr>
              <w:t xml:space="preserve"> за год, предшествующий отчетному, в течение отчетного финансового года по состоянию на 1 января текущего финансового года;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К2 - общее количество подведомственных учреждений по состоянию на 31 декабря отчетного финансового года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&lt;= P &lt; 100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50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1.3.5. Прирост объемов доходов подведомственных государственных бюджетных и автономных учреждений Астраханской области от приносящей доход деятельности за отчетный год к уровню предыдущего года (P20)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Dаботч / Dабпред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&gt;= 120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демонстрирует повышение уровня обеспеченности подведомственных государственных бюджетных и автономных учреждений Астраханской области средствами от приносящей доход деятельности и востребованность услуг, оказываемых подведомственными государственными бюджетными и автономными учреждениями Астраханской области за плату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Dаботч - доходы подведомственных государственных бюджетных и автономных учреждений Астраханской области от приносящей доход деятельности за отчетный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Dабпред - доходы подведомственных государственных бюджетных и автономных учреждений Астраханской области от приносящей доход деятельности за год, предшествующий отчетному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&lt;= P &lt; 120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&lt;= P &lt; 110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&lt;= P &lt; 105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100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1.3.6. Наличие задолженности по налогам и сборам, страховым взносам, пеням и налоговым санкциям на отчетную дату у подведомственных учреждений участника мониторинга (P21)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задолженности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задолженности по налогам и сборам, страховым взносам, пеням и налоговым санкциям - результат несоблюдения законодательства Российской Федерации о налогах и сборах, что приводит к неэффективному распределению бюджетных средств.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0 рублей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задолженности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1.3.7. Наличие правового акта о порядке ведения мониторинга результатов деятельности подведомственных государственных бюджетных и автономных учреждений Астраханской области, получивших субсидии (P22)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А,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1 - при наличии правового акта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правового акта участника мониторинга о порядке осуществления мониторинга результатов деятельности (результативности бюджетных расходов, качества подведомственных услуг) подведомственных государственных бюджетных и автономных учреждений Астраханской области, получающих субсидии, является положительным фактором, способствующим повышению качества финансового менеджмента</w:t>
            </w:r>
          </w:p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</w:t>
            </w:r>
          </w:p>
          <w:p>
            <w:pPr>
              <w:pStyle w:val="0"/>
            </w:pPr>
            <w:r>
              <w:rPr>
                <w:sz w:val="20"/>
              </w:rPr>
              <w:t xml:space="preserve">А - наличие правового акта участника мониторинга, обеспечивающего описание процедур и порядка осуществления мониторинга результатов деятельности (результативности бюджетных расходов, качества предоставляемых услуг) подведомственных государственных бюджетных и автономных учреждений Астраханской области, которым предоставляются субсидии на оказание государственных услуг (выполнения работ)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 = 0 - при отсутствии правового акта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1.3.8. Наличие остатков средств на счетах у подведомственных государственных бюджетных и автономных учреждений Астраханской области по субсидиям на иные цели (P23)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А,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Положительно расценивается отсутствие остатков средств на счетах у подведомственных государственных бюджетных и автономных учреждений Астраханской области по субсидиям на иные цели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где</w:t>
            </w:r>
          </w:p>
          <w:p>
            <w:pPr>
              <w:pStyle w:val="0"/>
            </w:pPr>
            <w:r>
              <w:rPr>
                <w:sz w:val="20"/>
              </w:rPr>
              <w:t xml:space="preserve">А - остатки средств на счетах у подведомственных государственных бюджетных и автономных учреждений Астраханской области по субсидиям на иные цели по состоянию на 1 января следующего за отчетным годом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5"/>
            <w:tcW w:w="13721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Раздел 2. Управление доходами бюджета Астраханской области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2.1. Качество планирования поступления доходов в бюджет Астраханской области (P24)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Дпр / Дф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=&lt; P &lt; 102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Значение показателя характеризует точность прогнозирования доходов главными администраторами доходов бюджета Астраханской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100%</w:t>
            </w:r>
          </w:p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Дпр - прогнозируемая сумма администрируемых доходов, сформированная на начало отчетного года без учета безвозмездных поступлений;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Дф - фактически поступившая сумма администрируемых доходов за отчетный 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&gt;= P &gt;= 102 или 96 =&lt; P &lt; 98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&gt;= P &gt; 104 или 94 =&lt; P &lt; 96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&gt;= P &gt; 106 или 92 =&lt; P &lt; 94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&gt;= P &gt; 108 или 90 =&lt; P &lt; 92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&gt; P или P &gt; 110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2.2. Управление просроченной дебиторской задолженностью по администрируемым доходам (P25)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Vпдз1 - Vпдз0,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Положительно оценивается отсутствие или снижение просроченной дебиторской задолженности по администрируемым доходам.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отсутствие просроченной дебиторской задолженности по администрируемым доходам</w:t>
            </w:r>
          </w:p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Vпдз1 - объем просроченной дебиторской задолженности по администрируемым доходам на конец отчетного финансового года,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Vпдз0 - объем просроченной дебиторской задолженности по администрируемым доходам на начало отчетного финансового года, рублей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&lt; 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2.3. Удельный вес невыясненных поступлений к общей сумме доходов в части сумм, администраторами которых являются участники мониторинга (P26)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T / Dф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=&lt;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Значение показателя характеризует работу администраторов доходов с невыясненными поступлениями.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0%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Т - сумма невыясненных поступлений в части сумм, администраторами которых являются соответствующие участники мониторинга, на отчетную дату;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Дф - фактическая сумма администрируемых доходов на отчетную дату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0,0005 &gt;= P &gt; 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 &gt;= P &gt; 0,0005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0,0015 &gt;= P &gt; 0,001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 &gt;= P &gt; 0,0015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0,002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2.4. Наличие утвержденной методики прогнозирования поступлений доходов в бюджет Астраханской области, согласованной с министерством финансов Астраханской области (P27)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Nра,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2,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если методика прогнозирования поступления доходов в бюджет утверждена и соответствует требованиям </w:t>
            </w:r>
            <w:hyperlink w:history="0" r:id="rId33" w:tooltip="Постановление Правительства РФ от 23.06.2016 N 574 (ред. от 03.07.2025) &quot;Об общих требованиях к методике прогнозирования поступлений доходов в бюджеты бюджетной системы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N 574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Показатель отражает соблюдение требований </w:t>
            </w:r>
            <w:hyperlink w:history="0" r:id="rId34" w:tooltip="Постановление Правительства РФ от 23.06.2016 N 574 (ред. от 03.07.2025) &quot;Об общих требованиях к методике прогнозирования поступлений доходов в бюджеты бюджетной системы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23.06.2016 N 574 по состоянию на 31 декабря отчетного года.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Соответствие утвержденной методики прогнозирования поступлений доходов в бюджет требованиям </w:t>
            </w:r>
            <w:hyperlink w:history="0" r:id="rId35" w:tooltip="Постановление Правительства РФ от 23.06.2016 N 574 (ред. от 03.07.2025) &quot;Об общих требованиях к методике прогнозирования поступлений доходов в бюджеты бюджетной системы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23.06.2016 N 574 свидетельствует о надлежащем выполнении главным администратором бюджетных полномочий</w:t>
            </w:r>
          </w:p>
        </w:tc>
        <w:tc>
          <w:tcPr>
            <w:tcW w:w="2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Nра - наличие утвержденной и соответствующей требованиям </w:t>
            </w:r>
            <w:hyperlink w:history="0" r:id="rId36" w:tooltip="Постановление Правительства РФ от 23.06.2016 N 574 (ред. от 03.07.2025) &quot;Об общих требованиях к методике прогнозирования поступлений доходов в бюджеты бюджетной системы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Российской Федерации от 23.06.2016 N 574 "Об общих требованиях к методике прогнозирования поступлений доходов в бюджеты бюджетной системы Российской Федерации" (далее - </w:t>
            </w:r>
            <w:hyperlink w:history="0" r:id="rId37" w:tooltip="Постановление Правительства РФ от 23.06.2016 N 574 (ред. от 03.07.2025) &quot;Об общих требованиях к методике прогнозирования поступлений доходов в бюджеты бюджетной системы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РФ от 23.06.2016 N 574) методики прогнозирования поступлений доходов в бюджет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1,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если методика прогнозирования поступления доходов утверждена, но не соответствует требованиям </w:t>
            </w:r>
            <w:hyperlink w:history="0" r:id="rId38" w:tooltip="Постановление Правительства РФ от 23.06.2016 N 574 (ред. от 03.07.2025) &quot;Об общих требованиях к методике прогнозирования поступлений доходов в бюджеты бюджетной системы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23.06.2016 N 574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если методика прогнозирования поступления доходов в бюджет не утверждена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gridSpan w:val="5"/>
            <w:tcW w:w="13721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Раздел 3. Ведение учета и составление бюджетной отчетности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3.1. Удельный вес кредиторской задолженности в расходах (P28)</w:t>
            </w:r>
          </w:p>
        </w:tc>
        <w:tc>
          <w:tcPr>
            <w:tcW w:w="31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Q1 / Q2 x 100,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= 0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Возникновение кредиторской задолженности свидетельствует о низком качестве управления финансами участниками мониторинга. Распределение финансовых ресурсов в ходе бюджетного процесса призвано обеспечить максимальную эффективность расходов бюджета Астраханской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0%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0"/>
              </w:rPr>
              <w:t xml:space="preserve">Q1 - сумма сложившейся кредиторской задолженности по состоянию на 1 января финансового года;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Q2 - общая сумма утвержденных участником мониторинга расходов бюджета Астраханской области по состоянию на 1 января финансового года</w:t>
            </w:r>
          </w:p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&lt; P &lt;= 20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&lt; P &lt;= 40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&lt; P &lt;= 60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&lt; P &lt;= 80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 &gt; 80</w:t>
            </w:r>
          </w:p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3.2. Наличие просроченной кредиторской задолженности (P29)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просроченной кредиторской задолженности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просроченной кредиторской задолженности - результат несоответствия фактического объема расходов объему расходов, утвержденному законом Астраханской области о бюджете Астраханской области, что приводит к неэффективному распределению бюджетных средств.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Целевым ориентиром является значение показателя, равное нулю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просроченной кредиторской задолженности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3.3. Соблюдение сроков представления отчетности по исполнению бюджета Астраханской области (Р30)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фактов нарушения сроков представления бюджетной отчетности в течение финансового года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Сроки представления годовой отчетности по исполнению бюджета Астраханской области ежегодно устанавливаются распоряжением министерства финансов Астраханской области; сроки представления месячной и квартальной отчетности установлены </w:t>
            </w:r>
            <w:hyperlink w:history="0" r:id="rId39" w:tooltip="Распоряжение минфина Астраханской области от 03.02.2011 N 23-р (ред. от 18.11.2011) &quot;О представлении месячной и квартальной консолидированной отчетности об исполнении бюджета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министерства финансов Астраханской области от 03.02.2011 N 23-р "О представлении месячной и квартальной консолидированной отчетности об исполнении бюджета"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фактов нарушения сроков представления бюджетной отчетности в течение финансового года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3.4. Соблюдение комплектности форм годовой отчетности по исполнению бюджета Астраханской области (Р31)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Полный комплект форм годовой отчетности по исполнению бюджета Астраханской области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Комплектность форм годовой отчетности по исполнению бюджета Астраханской области установлена </w:t>
            </w:r>
            <w:hyperlink w:history="0" r:id="rId40" w:tooltip="Приказ Минфина России от 28.12.2010 N 191н (ред. от 30.09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финансов Российской Федерации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 комплектность форм сводной отчетности бюджетных и автономных учреждений установлена </w:t>
            </w:r>
            <w:hyperlink w:history="0" r:id="rId41" w:tooltip="Приказ Минфина России от 25.03.2011 N 33н (ред. от 30.09.2024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Министерства финансов Российской Федерации от 25.03.2011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Неполный комплект форм годовой отчетности по исполнению бюджета Астраханской области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3.5. Превышение сумм принятых годовых бюджетных обязательств по расходам сверх утвержденного (доведенного) на отчетный финансовый год объема бюджетных данных (бюджетных ассигнований и (или) лимитов бюджетных обязательств) (</w:t>
            </w:r>
            <w:hyperlink w:history="0" r:id="rId42" w:tooltip="Приказ Минфина России от 28.12.2010 N 191н (ред. от 30.09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>
              <w:r>
                <w:rPr>
                  <w:sz w:val="20"/>
                  <w:color w:val="0000ff"/>
                </w:rPr>
                <w:t xml:space="preserve">форма 0503128</w:t>
              </w:r>
            </w:hyperlink>
            <w:r>
              <w:rPr>
                <w:sz w:val="20"/>
              </w:rPr>
              <w:t xml:space="preserve"> "Отчет о бюджетных обязательствах" (гр. 7) (P32)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сумм принятых годовых бюджетных обязательств по расходам сверх утвержденных лимитов бюджетных обязательств на отчетный финансовый год</w:t>
            </w:r>
          </w:p>
        </w:tc>
        <w:tc>
          <w:tcPr>
            <w:tcW w:w="18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 за непревышением участниками мониторинга сумм принятых годовых бюджетных (денежных) обязательств сверх утвержденных (доведенных) бюджетных ассигнований (лимитов бюджетных обязательств)</w:t>
            </w:r>
          </w:p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сумм принятых бюджетных обязательств по расходам сверх утвержденных лимитов бюджетных обязательств на отчетный финансовый 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проведения</w:t>
      </w:r>
    </w:p>
    <w:p>
      <w:pPr>
        <w:pStyle w:val="0"/>
        <w:jc w:val="right"/>
      </w:pPr>
      <w:r>
        <w:rPr>
          <w:sz w:val="20"/>
        </w:rPr>
        <w:t xml:space="preserve">министерством финансов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мониторинга качества</w:t>
      </w:r>
    </w:p>
    <w:p>
      <w:pPr>
        <w:pStyle w:val="0"/>
        <w:jc w:val="right"/>
      </w:pPr>
      <w:r>
        <w:rPr>
          <w:sz w:val="20"/>
        </w:rPr>
        <w:t xml:space="preserve">финансового менеджмента</w:t>
      </w:r>
    </w:p>
    <w:p>
      <w:pPr>
        <w:pStyle w:val="0"/>
        <w:jc w:val="both"/>
      </w:pPr>
      <w:r>
        <w:rPr>
          <w:sz w:val="20"/>
        </w:rPr>
      </w:r>
    </w:p>
    <w:bookmarkStart w:id="548" w:name="P548"/>
    <w:bookmarkEnd w:id="548"/>
    <w:p>
      <w:pPr>
        <w:pStyle w:val="2"/>
        <w:jc w:val="center"/>
      </w:pPr>
      <w:r>
        <w:rPr>
          <w:sz w:val="20"/>
        </w:rPr>
        <w:t xml:space="preserve">КОЭФФИЦИЕНТЫ СЛОЖНОСТИ УПРАВЛЕНИЯ ФИНАНСАМИ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077"/>
        <w:gridCol w:w="3685"/>
        <w:gridCol w:w="2835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подведомственных государственных учреждений Астраханской области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Коэффициент сложности управления финансами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более 11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 до 10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имеют подведомственных государственных учреждений Астраханской области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1,00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проведения</w:t>
      </w:r>
    </w:p>
    <w:p>
      <w:pPr>
        <w:pStyle w:val="0"/>
        <w:jc w:val="right"/>
      </w:pPr>
      <w:r>
        <w:rPr>
          <w:sz w:val="20"/>
        </w:rPr>
        <w:t xml:space="preserve">министерством финансов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мониторинга качества</w:t>
      </w:r>
    </w:p>
    <w:p>
      <w:pPr>
        <w:pStyle w:val="0"/>
        <w:jc w:val="right"/>
      </w:pPr>
      <w:r>
        <w:rPr>
          <w:sz w:val="20"/>
        </w:rPr>
        <w:t xml:space="preserve">финансового менеджмента</w:t>
      </w:r>
    </w:p>
    <w:p>
      <w:pPr>
        <w:pStyle w:val="0"/>
      </w:pPr>
      <w:r>
        <w:rPr>
          <w:sz w:val="20"/>
        </w:rPr>
      </w:r>
    </w:p>
    <w:bookmarkStart w:id="578" w:name="P578"/>
    <w:bookmarkEnd w:id="578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   о ходе реализации мер, направленных на повышение качества</w:t>
      </w:r>
    </w:p>
    <w:p>
      <w:pPr>
        <w:pStyle w:val="1"/>
        <w:jc w:val="both"/>
      </w:pPr>
      <w:r>
        <w:rPr>
          <w:sz w:val="20"/>
        </w:rPr>
        <w:t xml:space="preserve">                          финансового менеджмента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┌────────┐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│  Коды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├────────┤</w:t>
      </w:r>
    </w:p>
    <w:p>
      <w:pPr>
        <w:pStyle w:val="1"/>
        <w:jc w:val="both"/>
      </w:pPr>
      <w:r>
        <w:rPr>
          <w:sz w:val="20"/>
        </w:rPr>
        <w:t xml:space="preserve">                                     за 20 __ г.             Дата│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├────────┤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по ОКПО│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├────────┤</w:t>
      </w:r>
    </w:p>
    <w:p>
      <w:pPr>
        <w:pStyle w:val="1"/>
        <w:jc w:val="both"/>
      </w:pPr>
      <w:r>
        <w:rPr>
          <w:sz w:val="20"/>
        </w:rPr>
        <w:t xml:space="preserve"> Главный распорядитель средств бюджета                Глава по БК│        │</w:t>
      </w:r>
    </w:p>
    <w:p>
      <w:pPr>
        <w:pStyle w:val="1"/>
        <w:jc w:val="both"/>
      </w:pPr>
      <w:r>
        <w:rPr>
          <w:sz w:val="20"/>
        </w:rPr>
        <w:t xml:space="preserve"> Астраханской    области,    главный                             │        │</w:t>
      </w:r>
    </w:p>
    <w:p>
      <w:pPr>
        <w:pStyle w:val="1"/>
        <w:jc w:val="both"/>
      </w:pPr>
      <w:r>
        <w:rPr>
          <w:sz w:val="20"/>
        </w:rPr>
        <w:t xml:space="preserve"> администратор доходов бюджета                                   │        │</w:t>
      </w:r>
    </w:p>
    <w:p>
      <w:pPr>
        <w:pStyle w:val="1"/>
        <w:jc w:val="both"/>
      </w:pPr>
      <w:r>
        <w:rPr>
          <w:sz w:val="20"/>
        </w:rPr>
        <w:t xml:space="preserve"> Астраханской области, главный                                   │        │</w:t>
      </w:r>
    </w:p>
    <w:p>
      <w:pPr>
        <w:pStyle w:val="1"/>
        <w:jc w:val="both"/>
      </w:pPr>
      <w:r>
        <w:rPr>
          <w:sz w:val="20"/>
        </w:rPr>
        <w:t xml:space="preserve"> администратор   источников                                      │        │</w:t>
      </w:r>
    </w:p>
    <w:p>
      <w:pPr>
        <w:pStyle w:val="1"/>
        <w:jc w:val="both"/>
      </w:pPr>
      <w:r>
        <w:rPr>
          <w:sz w:val="20"/>
        </w:rPr>
        <w:t xml:space="preserve"> финансирования дефицита бюджета                                 │        │</w:t>
      </w:r>
    </w:p>
    <w:p>
      <w:pPr>
        <w:pStyle w:val="1"/>
        <w:jc w:val="both"/>
      </w:pPr>
      <w:r>
        <w:rPr>
          <w:sz w:val="20"/>
        </w:rPr>
        <w:t xml:space="preserve"> Астраханской области                                            │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└────────┘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701"/>
        <w:gridCol w:w="1546"/>
        <w:gridCol w:w="2370"/>
        <w:gridCol w:w="1361"/>
        <w:gridCol w:w="1647"/>
      </w:tblGrid>
      <w:tr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показателей качества финансового менеджмента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от максимальной оценки в %</w:t>
            </w:r>
          </w:p>
        </w:tc>
        <w:tc>
          <w:tcPr>
            <w:tcW w:w="154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(ы) отклонения</w:t>
            </w:r>
          </w:p>
        </w:tc>
        <w:tc>
          <w:tcPr>
            <w:gridSpan w:val="3"/>
            <w:tcW w:w="53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Исполнение мероприятий, направленных на обеспечение достижения максимальных оценок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16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об исполнении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_____________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(подпись) 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Исполнитель _______________ _________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(должность)    (подпись) (расшифровка подписи) (телефон)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"__" _____________ 20 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2"/>
      <w:headerReference w:type="first" r:id="rId12"/>
      <w:footerReference w:type="default" r:id="rId13"/>
      <w:footerReference w:type="first" r:id="rId1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минфина Астраханской области от 15.05.2025 N 20-п</w:t>
            <w:br/>
            <w:t>"О порядке проведения министерством финансов Астраханско...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минфина Астраханской области от 15.05.2025 N 20-п</w:t>
            <w:br/>
            <w:t>"О порядке проведения министерством финансов Астраханско...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241&amp;dst=4889" TargetMode = "External"/><Relationship Id="rId9" Type="http://schemas.openxmlformats.org/officeDocument/2006/relationships/hyperlink" Target="https://login.consultant.ru/link/?req=doc&amp;base=LAW&amp;n=511241&amp;dst=4889" TargetMode = "External"/><Relationship Id="rId10" Type="http://schemas.openxmlformats.org/officeDocument/2006/relationships/hyperlink" Target="https://login.consultant.ru/link/?req=doc&amp;base=LAW&amp;n=511241&amp;dst=3743" TargetMode = "External"/><Relationship Id="rId11" Type="http://schemas.openxmlformats.org/officeDocument/2006/relationships/image" Target="media/image2.wmf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3.wmf"/><Relationship Id="rId15" Type="http://schemas.openxmlformats.org/officeDocument/2006/relationships/image" Target="media/image4.wmf"/><Relationship Id="rId16" Type="http://schemas.openxmlformats.org/officeDocument/2006/relationships/hyperlink" Target="https://login.consultant.ru/link/?req=doc&amp;base=RLAW322&amp;n=110977" TargetMode = "External"/><Relationship Id="rId17" Type="http://schemas.openxmlformats.org/officeDocument/2006/relationships/image" Target="media/image5.wmf"/><Relationship Id="rId18" Type="http://schemas.openxmlformats.org/officeDocument/2006/relationships/image" Target="media/image6.wmf"/><Relationship Id="rId19" Type="http://schemas.openxmlformats.org/officeDocument/2006/relationships/image" Target="media/image7.wmf"/><Relationship Id="rId20" Type="http://schemas.openxmlformats.org/officeDocument/2006/relationships/image" Target="media/image8.wmf"/><Relationship Id="rId21" Type="http://schemas.openxmlformats.org/officeDocument/2006/relationships/image" Target="media/image9.wmf"/><Relationship Id="rId22" Type="http://schemas.openxmlformats.org/officeDocument/2006/relationships/image" Target="media/image10.wmf"/><Relationship Id="rId23" Type="http://schemas.openxmlformats.org/officeDocument/2006/relationships/image" Target="media/image11.wmf"/><Relationship Id="rId24" Type="http://schemas.openxmlformats.org/officeDocument/2006/relationships/image" Target="media/image12.wmf"/><Relationship Id="rId25" Type="http://schemas.openxmlformats.org/officeDocument/2006/relationships/image" Target="media/image13.wmf"/><Relationship Id="rId26" Type="http://schemas.openxmlformats.org/officeDocument/2006/relationships/hyperlink" Target="https://login.consultant.ru/link/?req=doc&amp;base=LAW&amp;n=494990" TargetMode = "External"/><Relationship Id="rId27" Type="http://schemas.openxmlformats.org/officeDocument/2006/relationships/image" Target="media/image14.wmf"/><Relationship Id="rId28" Type="http://schemas.openxmlformats.org/officeDocument/2006/relationships/hyperlink" Target="www.bus.gov.ru" TargetMode = "External"/><Relationship Id="rId29" Type="http://schemas.openxmlformats.org/officeDocument/2006/relationships/hyperlink" Target="www.bus.gov.ru" TargetMode = "External"/><Relationship Id="rId30" Type="http://schemas.openxmlformats.org/officeDocument/2006/relationships/hyperlink" Target="www.bus.gov.ru" TargetMode = "External"/><Relationship Id="rId31" Type="http://schemas.openxmlformats.org/officeDocument/2006/relationships/hyperlink" Target="www.bus.gov.ru" TargetMode = "External"/><Relationship Id="rId32" Type="http://schemas.openxmlformats.org/officeDocument/2006/relationships/hyperlink" Target="www.bus.gov.ru" TargetMode = "External"/><Relationship Id="rId33" Type="http://schemas.openxmlformats.org/officeDocument/2006/relationships/hyperlink" Target="https://login.consultant.ru/link/?req=doc&amp;base=LAW&amp;n=509207" TargetMode = "External"/><Relationship Id="rId34" Type="http://schemas.openxmlformats.org/officeDocument/2006/relationships/hyperlink" Target="https://login.consultant.ru/link/?req=doc&amp;base=LAW&amp;n=509207" TargetMode = "External"/><Relationship Id="rId35" Type="http://schemas.openxmlformats.org/officeDocument/2006/relationships/hyperlink" Target="https://login.consultant.ru/link/?req=doc&amp;base=LAW&amp;n=509207" TargetMode = "External"/><Relationship Id="rId36" Type="http://schemas.openxmlformats.org/officeDocument/2006/relationships/hyperlink" Target="https://login.consultant.ru/link/?req=doc&amp;base=LAW&amp;n=509207" TargetMode = "External"/><Relationship Id="rId37" Type="http://schemas.openxmlformats.org/officeDocument/2006/relationships/hyperlink" Target="https://login.consultant.ru/link/?req=doc&amp;base=LAW&amp;n=509207" TargetMode = "External"/><Relationship Id="rId38" Type="http://schemas.openxmlformats.org/officeDocument/2006/relationships/hyperlink" Target="https://login.consultant.ru/link/?req=doc&amp;base=LAW&amp;n=509207" TargetMode = "External"/><Relationship Id="rId39" Type="http://schemas.openxmlformats.org/officeDocument/2006/relationships/hyperlink" Target="https://login.consultant.ru/link/?req=doc&amp;base=RLAW322&amp;n=39481" TargetMode = "External"/><Relationship Id="rId40" Type="http://schemas.openxmlformats.org/officeDocument/2006/relationships/hyperlink" Target="https://login.consultant.ru/link/?req=doc&amp;base=LAW&amp;n=494395" TargetMode = "External"/><Relationship Id="rId41" Type="http://schemas.openxmlformats.org/officeDocument/2006/relationships/hyperlink" Target="https://login.consultant.ru/link/?req=doc&amp;base=LAW&amp;n=490500" TargetMode = "External"/><Relationship Id="rId42" Type="http://schemas.openxmlformats.org/officeDocument/2006/relationships/hyperlink" Target="https://login.consultant.ru/link/?req=doc&amp;base=LAW&amp;n=494395&amp;dst=166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минфина Астраханской области от 15.05.2025 N 20-п
"О порядке проведения министерством финансов Астраханской области мониторинга качества финансового менеджмента"
(Зарегистрировано в минфине Астраханской области 15.05.2025 N 102/25/20-п)</dc:title>
  <dcterms:created xsi:type="dcterms:W3CDTF">2025-11-06T13:23:50Z</dcterms:created>
</cp:coreProperties>
</file>